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56E6" w14:textId="77777777" w:rsidR="0026578C" w:rsidRPr="00236845" w:rsidRDefault="00FD2334" w:rsidP="00314DB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36845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</w:p>
    <w:p w14:paraId="60DEB655" w14:textId="6EEBE046" w:rsidR="00375A2A" w:rsidRPr="00375A2A" w:rsidRDefault="00375A2A" w:rsidP="0023684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</w:pPr>
      <w:r w:rsidRPr="001625C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Tisková zpráva, Praha, </w:t>
      </w:r>
      <w:r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2</w:t>
      </w:r>
      <w:r w:rsidR="001A733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7</w:t>
      </w:r>
      <w:r w:rsidRPr="001625C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. </w:t>
      </w:r>
      <w:r w:rsidR="001A733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11</w:t>
      </w:r>
      <w:r w:rsidRPr="001625C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 20</w:t>
      </w:r>
      <w:r w:rsidR="001A7332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19</w:t>
      </w:r>
      <w:r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br/>
      </w:r>
    </w:p>
    <w:p w14:paraId="7CC79AEE" w14:textId="08708D05" w:rsidR="00B90807" w:rsidRPr="00236845" w:rsidRDefault="00B90807" w:rsidP="00236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bookmarkStart w:id="0" w:name="_GoBack"/>
      <w:r w:rsidRPr="0023684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Ideální polední menu</w:t>
      </w:r>
      <w:r w:rsidR="00EA581C" w:rsidRPr="0023684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: Češi požadují hlavně českou kuchyni a polévku</w:t>
      </w:r>
      <w:r w:rsidRPr="00236845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zdarma</w:t>
      </w:r>
    </w:p>
    <w:bookmarkEnd w:id="0"/>
    <w:p w14:paraId="108F9373" w14:textId="77777777" w:rsidR="005C3A74" w:rsidRPr="00236845" w:rsidRDefault="005C3A74" w:rsidP="00BC2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6F186756" w14:textId="77777777" w:rsidR="001922A4" w:rsidRPr="00236845" w:rsidRDefault="00B90807" w:rsidP="00BC231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  <w:bookmarkStart w:id="1" w:name="m_3619999402317055345_m_-658888669980131"/>
      <w:bookmarkEnd w:id="1"/>
      <w:r w:rsidRPr="00236845">
        <w:rPr>
          <w:rFonts w:ascii="Arial" w:hAnsi="Arial" w:cs="Arial"/>
          <w:bCs w:val="0"/>
          <w:sz w:val="20"/>
          <w:szCs w:val="20"/>
        </w:rPr>
        <w:t>Ideální polední menu v českých restauracích by mělo obsahovat pokrm z české kuchyně, myslí si to více než polovina Čechů. Více než 40 % by si potom přálo v rámci menu polévku zdarma a téměř shodné množství lidí ch</w:t>
      </w:r>
      <w:r w:rsidR="0091177D" w:rsidRPr="00236845">
        <w:rPr>
          <w:rFonts w:ascii="Arial" w:hAnsi="Arial" w:cs="Arial"/>
          <w:bCs w:val="0"/>
          <w:sz w:val="20"/>
          <w:szCs w:val="20"/>
        </w:rPr>
        <w:t>ce</w:t>
      </w:r>
      <w:r w:rsidRPr="00236845">
        <w:rPr>
          <w:rFonts w:ascii="Arial" w:hAnsi="Arial" w:cs="Arial"/>
          <w:bCs w:val="0"/>
          <w:sz w:val="20"/>
          <w:szCs w:val="20"/>
        </w:rPr>
        <w:t xml:space="preserve"> mít možnost odnést si jídlo sebou.</w:t>
      </w:r>
      <w:r w:rsidR="001C7CD3" w:rsidRPr="00236845">
        <w:rPr>
          <w:rFonts w:ascii="Arial" w:hAnsi="Arial" w:cs="Arial"/>
          <w:bCs w:val="0"/>
          <w:sz w:val="20"/>
          <w:szCs w:val="20"/>
        </w:rPr>
        <w:t xml:space="preserve"> </w:t>
      </w:r>
      <w:r w:rsidR="001922A4" w:rsidRPr="00236845">
        <w:rPr>
          <w:rFonts w:ascii="Arial" w:hAnsi="Arial" w:cs="Arial"/>
          <w:bCs w:val="0"/>
          <w:sz w:val="20"/>
          <w:szCs w:val="20"/>
        </w:rPr>
        <w:t>Vyplývá to z průzkumu společnosti Up Česká republika mezi 5</w:t>
      </w:r>
      <w:r w:rsidR="001C7CD3" w:rsidRPr="00236845">
        <w:rPr>
          <w:rFonts w:ascii="Arial" w:hAnsi="Arial" w:cs="Arial"/>
          <w:bCs w:val="0"/>
          <w:sz w:val="20"/>
          <w:szCs w:val="20"/>
        </w:rPr>
        <w:t>25</w:t>
      </w:r>
      <w:r w:rsidR="001922A4" w:rsidRPr="00236845">
        <w:rPr>
          <w:rFonts w:ascii="Arial" w:hAnsi="Arial" w:cs="Arial"/>
          <w:bCs w:val="0"/>
          <w:sz w:val="20"/>
          <w:szCs w:val="20"/>
        </w:rPr>
        <w:t xml:space="preserve"> respondenty.</w:t>
      </w:r>
      <w:r w:rsidRPr="00236845">
        <w:rPr>
          <w:rFonts w:ascii="Arial" w:hAnsi="Arial" w:cs="Arial"/>
          <w:bCs w:val="0"/>
          <w:sz w:val="20"/>
          <w:szCs w:val="20"/>
        </w:rPr>
        <w:t xml:space="preserve"> Na opačném konci žebříčku skončila asijská jídla, fastfoodové pokrmy nebo nabídka předkrmů v rámci poledního menu.</w:t>
      </w:r>
    </w:p>
    <w:p w14:paraId="16412FCD" w14:textId="77777777" w:rsidR="001922A4" w:rsidRPr="00236845" w:rsidRDefault="001922A4" w:rsidP="00BC231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5DD39221" w14:textId="77777777" w:rsidR="006541F6" w:rsidRPr="00236845" w:rsidRDefault="00F71E30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Svíčková drží prvenství</w:t>
      </w:r>
    </w:p>
    <w:p w14:paraId="1899E0D8" w14:textId="77777777" w:rsidR="00CC49FD" w:rsidRPr="00236845" w:rsidRDefault="002040C8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Najít v nabídce alespoň jedno jídlo z české kuchyně, to je vůbec nejčastěji zmiňovaná podmínka, kterou musí </w:t>
      </w:r>
      <w:r w:rsidR="007418A1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ideální polední menu v restauraci splňovat. Nějaký typický český pokrm vyžaduje v polední nabídce 55 % Čechů, o něco více přitom muži než ženy. Lidé do 26 let věku trvají na českém jídle oproti svým starším kolegům méně, přesto si bez něj </w:t>
      </w:r>
      <w:r w:rsidR="00DA53F0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nedokáže polední menu představit </w:t>
      </w:r>
      <w:r w:rsidR="007418A1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43 % z nich. </w:t>
      </w:r>
    </w:p>
    <w:p w14:paraId="625384AD" w14:textId="77777777" w:rsidR="00CC49FD" w:rsidRPr="00236845" w:rsidRDefault="00CC49FD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14:paraId="3915C241" w14:textId="77777777" w:rsidR="00CC49FD" w:rsidRPr="00236845" w:rsidRDefault="007844EA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Polévka je grunt!</w:t>
      </w:r>
    </w:p>
    <w:p w14:paraId="12CA168D" w14:textId="77777777" w:rsidR="00F139A5" w:rsidRPr="00236845" w:rsidRDefault="00053F85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Pro velkou část populace je</w:t>
      </w:r>
      <w:r w:rsidR="00DA53F0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n</w:t>
      </w:r>
      <w:r w:rsidR="00755FDC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edílnou součástí </w:t>
      </w: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oběda</w:t>
      </w:r>
      <w:r w:rsidR="00DA53F0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také</w:t>
      </w: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polévka</w:t>
      </w:r>
      <w:r w:rsidR="00DA53F0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. </w:t>
      </w: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Mít ji v rámci poledního menu zdarma nebo alespoň za zvýhodněnou cenu vyžaduje </w:t>
      </w:r>
      <w:r w:rsidR="004D337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42 % </w:t>
      </w: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strávníků</w:t>
      </w:r>
      <w:r w:rsidR="004D337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. </w:t>
      </w:r>
      <w:r w:rsidR="00092E3B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Obdobné je to s nabídkou pití, které chce mít </w:t>
      </w:r>
      <w:r w:rsidR="001D71F6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k obědovému menu</w:t>
      </w:r>
      <w:r w:rsidR="00092E3B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výhodně či </w:t>
      </w:r>
      <w:r w:rsidR="00F04021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zdarma</w:t>
      </w:r>
      <w:r w:rsidR="00092E3B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F04021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37 % Čechů.</w:t>
      </w:r>
      <w:r w:rsidR="00092E3B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Oproti tomu na dezertu trvá v rámci poledního menu jen 13 % lidí.  </w:t>
      </w:r>
    </w:p>
    <w:p w14:paraId="6DCFD804" w14:textId="77777777" w:rsidR="00585729" w:rsidRPr="00236845" w:rsidRDefault="00585729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p w14:paraId="599F0584" w14:textId="77777777" w:rsidR="00053F85" w:rsidRPr="00236845" w:rsidRDefault="00053F85" w:rsidP="00053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Trend žít zdravě </w:t>
      </w:r>
      <w:r w:rsidR="001D71F6"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se promítá i do obědů</w:t>
      </w:r>
    </w:p>
    <w:p w14:paraId="44A380BB" w14:textId="77777777" w:rsidR="00053F85" w:rsidRPr="00236845" w:rsidRDefault="00092E3B" w:rsidP="00053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Zato saláty se stávají n</w:t>
      </w:r>
      <w:r w:rsidR="00053F85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edílnou součástí českých obědů. </w:t>
      </w:r>
      <w:r w:rsidR="004E47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Alespoň to tvrdí necelá třetina lidí, kteří si polední menu bez salátu z</w:t>
      </w:r>
      <w:r w:rsidR="00053F85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darma neb</w:t>
      </w: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o za zvýhodněnou cenu</w:t>
      </w:r>
      <w:r w:rsidR="001D71F6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nedovedou</w:t>
      </w:r>
      <w:r w:rsidR="004E47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představit. </w:t>
      </w:r>
      <w:r w:rsidR="0074153A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Nabídku bezmasého pokrmu by pak polední menu určitě mělo obsahovat podle 27 % respondentů, mezi ženami ho požaduje dokonce téměř třetina. </w:t>
      </w:r>
      <w:r w:rsidR="00053F85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Poměrně p</w:t>
      </w:r>
      <w:r w:rsidR="0074153A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řekvapivý je také požadavek ryb, polední nabídka by měla v ideálním případě obsahovat takové jídlo podle 28 % lidí. </w:t>
      </w:r>
    </w:p>
    <w:p w14:paraId="4F8E4F5D" w14:textId="77777777" w:rsidR="0074153A" w:rsidRPr="00236845" w:rsidRDefault="0074153A" w:rsidP="00053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14:paraId="21877CED" w14:textId="77777777" w:rsidR="00092E3B" w:rsidRPr="00236845" w:rsidRDefault="00092E3B" w:rsidP="007E3B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Nejen obsah, ale i servis</w:t>
      </w:r>
    </w:p>
    <w:p w14:paraId="65D05747" w14:textId="77777777" w:rsidR="007A51B4" w:rsidRPr="00236845" w:rsidRDefault="0074153A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Ideální obědové menu by nicméně nemělo splňovat jen požadavky na nabídku jídel, ale také určitý servis a služby. Pro 43 % strávníků </w:t>
      </w:r>
      <w:r w:rsidR="00BA7E86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je 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nezbytné, aby bylo za menu možné zaplatit papírovými nebo elektronickými stravenkami. Podobně důležitá (42 %) je </w:t>
      </w:r>
      <w:r w:rsidR="00A64E77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pro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hosty restaurací m</w:t>
      </w:r>
      <w:r w:rsidR="00461376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ožnost odnést si jídlo </w:t>
      </w:r>
      <w:r w:rsidR="00A64E77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z poledního menu 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s </w:t>
      </w:r>
      <w:r w:rsidR="00461376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sebou</w:t>
      </w:r>
      <w:r w:rsidR="00624A40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.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</w:t>
      </w:r>
      <w:r w:rsidR="00A17FD0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ro ženy </w:t>
      </w:r>
      <w:r w:rsidR="001C6AE2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je to dokonce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vůbec nejdůležitější požadavek. </w:t>
      </w:r>
      <w:r w:rsidR="00F1299A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Mít možnost odnést si jídlo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s</w:t>
      </w:r>
      <w:r w:rsidR="00F1299A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sebou 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je nezbytné</w:t>
      </w:r>
      <w:r w:rsidR="001C6AE2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pro </w:t>
      </w:r>
      <w:r w:rsidR="001C6AE2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56 %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z nich</w:t>
      </w:r>
      <w:r w:rsidR="00F1299A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a „jen“ 29 % mužů.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Pro pětinu lidí je pak </w:t>
      </w:r>
      <w:r w:rsidR="001E4465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nepostradatelná</w:t>
      </w:r>
      <w:r w:rsidR="00DE71C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možnost nechat si</w:t>
      </w:r>
      <w:r w:rsidR="00AD325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jídlo z poledního menu dovézt.</w:t>
      </w:r>
    </w:p>
    <w:p w14:paraId="04B12E11" w14:textId="77777777" w:rsidR="00092E3B" w:rsidRPr="00236845" w:rsidRDefault="00092E3B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14:paraId="1C40EB8A" w14:textId="77777777" w:rsidR="006541F6" w:rsidRPr="00236845" w:rsidRDefault="00DA3FFD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Burgery </w:t>
      </w:r>
      <w:r w:rsidR="0028598B"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a</w:t>
      </w:r>
      <w:r w:rsidRPr="00236845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nudle si Češi odpustí</w:t>
      </w:r>
    </w:p>
    <w:p w14:paraId="0198CACE" w14:textId="77777777" w:rsidR="00BC2314" w:rsidRDefault="0028598B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Na co si Češi v rámci poledního menu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naopak</w:t>
      </w:r>
      <w:r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moc n</w:t>
      </w:r>
      <w:r w:rsidR="0020050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epotrpí, je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nabídka asijské kuchyně. Asijské jídlo</w:t>
      </w:r>
      <w:r w:rsidR="0020050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vyžaduje </w:t>
      </w:r>
      <w:r w:rsidR="0020050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na svém ideálním poledním menu jen 8 % respondentů.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S</w:t>
      </w:r>
      <w:r w:rsidR="00200503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tejné je to s</w:t>
      </w:r>
      <w:r w:rsidR="00742C2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 „fastfoodovými“ pokrmy</w:t>
      </w:r>
      <w:r w:rsidR="00AD325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,</w:t>
      </w:r>
      <w:r w:rsidR="00742C2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jako jsou hamburgery, hranolky či pizza.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Jen 15 % lidí si nedovede polední menu představit bez nabídky pokrmu z mezinárodní kuchyně. A v</w:t>
      </w:r>
      <w:r w:rsidR="00742C2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ůbec nejméně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lidí</w:t>
      </w:r>
      <w:r w:rsidR="00CA4E2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trvá na p</w:t>
      </w:r>
      <w:r w:rsidR="008E0FB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ředkrm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ech</w:t>
      </w:r>
      <w:r w:rsidR="008E0FB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, ideální polední menu </w:t>
      </w:r>
      <w:r w:rsidR="00AD3258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by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je </w:t>
      </w:r>
      <w:r w:rsidR="008E0FB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mělo obsahovat </w:t>
      </w:r>
      <w:r w:rsidR="001709E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pouze podle 7 % z nich</w:t>
      </w:r>
      <w:r w:rsidR="008E0FBD" w:rsidRPr="00236845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.</w:t>
      </w:r>
    </w:p>
    <w:p w14:paraId="5DA8E0C1" w14:textId="77777777" w:rsidR="00236845" w:rsidRPr="00236845" w:rsidRDefault="00236845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79646" w:themeColor="accent6"/>
          <w:sz w:val="20"/>
          <w:szCs w:val="20"/>
          <w:lang w:eastAsia="cs-CZ"/>
        </w:rPr>
      </w:pPr>
    </w:p>
    <w:p w14:paraId="32C3347E" w14:textId="77777777" w:rsidR="00305CA5" w:rsidRPr="00236845" w:rsidRDefault="00305CA5" w:rsidP="00BC2314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79646" w:themeColor="accent6"/>
          <w:sz w:val="20"/>
          <w:szCs w:val="20"/>
          <w:lang w:eastAsia="cs-CZ"/>
        </w:rPr>
      </w:pPr>
    </w:p>
    <w:p w14:paraId="05C185B1" w14:textId="77777777" w:rsidR="001709ED" w:rsidRPr="00236845" w:rsidRDefault="00305CA5" w:rsidP="00305CA5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236845"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r w:rsidRPr="00236845">
        <w:rPr>
          <w:rFonts w:ascii="Arial" w:hAnsi="Arial" w:cs="Arial"/>
          <w:sz w:val="20"/>
          <w:szCs w:val="20"/>
        </w:rPr>
        <w:br/>
      </w:r>
      <w:proofErr w:type="spellStart"/>
      <w:r w:rsidRPr="00236845">
        <w:rPr>
          <w:rFonts w:ascii="Arial" w:hAnsi="Arial" w:cs="Arial"/>
          <w:sz w:val="20"/>
          <w:szCs w:val="20"/>
        </w:rPr>
        <w:t>Le</w:t>
      </w:r>
      <w:proofErr w:type="spellEnd"/>
      <w:r w:rsidRPr="002368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845">
        <w:rPr>
          <w:rFonts w:ascii="Arial" w:hAnsi="Arial" w:cs="Arial"/>
          <w:sz w:val="20"/>
          <w:szCs w:val="20"/>
        </w:rPr>
        <w:t>Chèque</w:t>
      </w:r>
      <w:proofErr w:type="spellEnd"/>
      <w:r w:rsidRPr="002368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845">
        <w:rPr>
          <w:rFonts w:ascii="Arial" w:hAnsi="Arial" w:cs="Arial"/>
          <w:sz w:val="20"/>
          <w:szCs w:val="20"/>
        </w:rPr>
        <w:t>Déjeuner</w:t>
      </w:r>
      <w:proofErr w:type="spellEnd"/>
      <w:r w:rsidRPr="00236845">
        <w:rPr>
          <w:rFonts w:ascii="Arial" w:hAnsi="Arial" w:cs="Arial"/>
          <w:sz w:val="20"/>
          <w:szCs w:val="20"/>
        </w:rPr>
        <w:t>, je součástí mezinárodní skupiny Up, která dnes působí v 29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6" w:history="1">
        <w:r w:rsidRPr="00236845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236845">
        <w:rPr>
          <w:rFonts w:ascii="Arial" w:hAnsi="Arial" w:cs="Arial"/>
          <w:sz w:val="20"/>
          <w:szCs w:val="20"/>
        </w:rPr>
        <w:t>.</w:t>
      </w:r>
    </w:p>
    <w:sectPr w:rsidR="001709ED" w:rsidRPr="00236845" w:rsidSect="00B241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38865" w14:textId="77777777" w:rsidR="00A143E6" w:rsidRDefault="00A143E6" w:rsidP="00314DB7">
      <w:pPr>
        <w:spacing w:after="0" w:line="240" w:lineRule="auto"/>
      </w:pPr>
      <w:r>
        <w:separator/>
      </w:r>
    </w:p>
  </w:endnote>
  <w:endnote w:type="continuationSeparator" w:id="0">
    <w:p w14:paraId="56B42D3B" w14:textId="77777777" w:rsidR="00A143E6" w:rsidRDefault="00A143E6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5D21" w14:textId="77777777" w:rsidR="00A143E6" w:rsidRDefault="00A143E6" w:rsidP="00314DB7">
      <w:pPr>
        <w:spacing w:after="0" w:line="240" w:lineRule="auto"/>
      </w:pPr>
      <w:r>
        <w:separator/>
      </w:r>
    </w:p>
  </w:footnote>
  <w:footnote w:type="continuationSeparator" w:id="0">
    <w:p w14:paraId="46A6A8B8" w14:textId="77777777" w:rsidR="00A143E6" w:rsidRDefault="00A143E6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8621" w14:textId="77777777" w:rsidR="00314DB7" w:rsidRDefault="00314DB7" w:rsidP="00314DB7">
    <w:pPr>
      <w:pStyle w:val="Zhlav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20DCBA50" wp14:editId="4EE4483B">
          <wp:extent cx="1139825" cy="940356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86" cy="94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21219"/>
    <w:rsid w:val="000507E6"/>
    <w:rsid w:val="00053F85"/>
    <w:rsid w:val="00092E3B"/>
    <w:rsid w:val="000C3792"/>
    <w:rsid w:val="00113935"/>
    <w:rsid w:val="00114167"/>
    <w:rsid w:val="00137CC5"/>
    <w:rsid w:val="00164832"/>
    <w:rsid w:val="001709ED"/>
    <w:rsid w:val="001922A4"/>
    <w:rsid w:val="001976CA"/>
    <w:rsid w:val="001A7332"/>
    <w:rsid w:val="001B0E43"/>
    <w:rsid w:val="001C6AE2"/>
    <w:rsid w:val="001C7217"/>
    <w:rsid w:val="001C7CD3"/>
    <w:rsid w:val="001D6530"/>
    <w:rsid w:val="001D71F6"/>
    <w:rsid w:val="001E1B3D"/>
    <w:rsid w:val="001E4465"/>
    <w:rsid w:val="001F2DBE"/>
    <w:rsid w:val="001F5AA5"/>
    <w:rsid w:val="00200503"/>
    <w:rsid w:val="002040C8"/>
    <w:rsid w:val="00222052"/>
    <w:rsid w:val="0022796C"/>
    <w:rsid w:val="00236845"/>
    <w:rsid w:val="00241C7F"/>
    <w:rsid w:val="00255021"/>
    <w:rsid w:val="0026578C"/>
    <w:rsid w:val="0027389A"/>
    <w:rsid w:val="00275AA1"/>
    <w:rsid w:val="0028598B"/>
    <w:rsid w:val="00286639"/>
    <w:rsid w:val="002C5458"/>
    <w:rsid w:val="002E21DB"/>
    <w:rsid w:val="002F0A3E"/>
    <w:rsid w:val="002F0A8E"/>
    <w:rsid w:val="0030343C"/>
    <w:rsid w:val="00305CA5"/>
    <w:rsid w:val="00314DB7"/>
    <w:rsid w:val="00323B42"/>
    <w:rsid w:val="003446CD"/>
    <w:rsid w:val="00345616"/>
    <w:rsid w:val="00355B78"/>
    <w:rsid w:val="00375A2A"/>
    <w:rsid w:val="00376DFF"/>
    <w:rsid w:val="00380BAC"/>
    <w:rsid w:val="003967AB"/>
    <w:rsid w:val="003B0F1A"/>
    <w:rsid w:val="003C41FF"/>
    <w:rsid w:val="003D5C0B"/>
    <w:rsid w:val="003F7965"/>
    <w:rsid w:val="004320B6"/>
    <w:rsid w:val="00461376"/>
    <w:rsid w:val="004637D8"/>
    <w:rsid w:val="0046682F"/>
    <w:rsid w:val="0047645D"/>
    <w:rsid w:val="004B553F"/>
    <w:rsid w:val="004C6AA9"/>
    <w:rsid w:val="004D2BD9"/>
    <w:rsid w:val="004D3373"/>
    <w:rsid w:val="004E35DC"/>
    <w:rsid w:val="004E47C3"/>
    <w:rsid w:val="005427E0"/>
    <w:rsid w:val="00545631"/>
    <w:rsid w:val="00547760"/>
    <w:rsid w:val="00550EC9"/>
    <w:rsid w:val="00556195"/>
    <w:rsid w:val="00557E7D"/>
    <w:rsid w:val="0056422E"/>
    <w:rsid w:val="00585729"/>
    <w:rsid w:val="005A5CB9"/>
    <w:rsid w:val="005C3A74"/>
    <w:rsid w:val="005D12AD"/>
    <w:rsid w:val="005D396F"/>
    <w:rsid w:val="005E031D"/>
    <w:rsid w:val="005F37D3"/>
    <w:rsid w:val="0060400E"/>
    <w:rsid w:val="0060614E"/>
    <w:rsid w:val="006160AC"/>
    <w:rsid w:val="00624152"/>
    <w:rsid w:val="00624A40"/>
    <w:rsid w:val="00653147"/>
    <w:rsid w:val="006541F6"/>
    <w:rsid w:val="00657798"/>
    <w:rsid w:val="00681B00"/>
    <w:rsid w:val="00686515"/>
    <w:rsid w:val="006960A9"/>
    <w:rsid w:val="006971EF"/>
    <w:rsid w:val="006A27A4"/>
    <w:rsid w:val="006A328B"/>
    <w:rsid w:val="006D72D7"/>
    <w:rsid w:val="006E6B27"/>
    <w:rsid w:val="006E76C6"/>
    <w:rsid w:val="00701E0D"/>
    <w:rsid w:val="00730ADF"/>
    <w:rsid w:val="0074153A"/>
    <w:rsid w:val="007418A1"/>
    <w:rsid w:val="00742C28"/>
    <w:rsid w:val="00752879"/>
    <w:rsid w:val="00755FDC"/>
    <w:rsid w:val="007822B1"/>
    <w:rsid w:val="007844EA"/>
    <w:rsid w:val="00784EC8"/>
    <w:rsid w:val="007A51B4"/>
    <w:rsid w:val="007C201D"/>
    <w:rsid w:val="007C776F"/>
    <w:rsid w:val="007E3B84"/>
    <w:rsid w:val="007F6984"/>
    <w:rsid w:val="00807621"/>
    <w:rsid w:val="008130A6"/>
    <w:rsid w:val="00843EB1"/>
    <w:rsid w:val="00847BC2"/>
    <w:rsid w:val="00866808"/>
    <w:rsid w:val="008B77EF"/>
    <w:rsid w:val="008D34CC"/>
    <w:rsid w:val="008E0FBD"/>
    <w:rsid w:val="008E16E1"/>
    <w:rsid w:val="00905CAE"/>
    <w:rsid w:val="0091177D"/>
    <w:rsid w:val="009134D3"/>
    <w:rsid w:val="0095031B"/>
    <w:rsid w:val="0097370E"/>
    <w:rsid w:val="009F23A4"/>
    <w:rsid w:val="009F65C2"/>
    <w:rsid w:val="00A04CAB"/>
    <w:rsid w:val="00A1374D"/>
    <w:rsid w:val="00A143E6"/>
    <w:rsid w:val="00A15CEB"/>
    <w:rsid w:val="00A17FD0"/>
    <w:rsid w:val="00A63FED"/>
    <w:rsid w:val="00A64E77"/>
    <w:rsid w:val="00A806BF"/>
    <w:rsid w:val="00A8625B"/>
    <w:rsid w:val="00A9502D"/>
    <w:rsid w:val="00AB4992"/>
    <w:rsid w:val="00AD3258"/>
    <w:rsid w:val="00AF32AC"/>
    <w:rsid w:val="00AF75E7"/>
    <w:rsid w:val="00B10EDA"/>
    <w:rsid w:val="00B17899"/>
    <w:rsid w:val="00B2414C"/>
    <w:rsid w:val="00B32582"/>
    <w:rsid w:val="00B40F81"/>
    <w:rsid w:val="00B817EF"/>
    <w:rsid w:val="00B874DD"/>
    <w:rsid w:val="00B90807"/>
    <w:rsid w:val="00BA5224"/>
    <w:rsid w:val="00BA7E86"/>
    <w:rsid w:val="00BB2493"/>
    <w:rsid w:val="00BC2314"/>
    <w:rsid w:val="00BC2C51"/>
    <w:rsid w:val="00BC581E"/>
    <w:rsid w:val="00BC7C67"/>
    <w:rsid w:val="00BE390D"/>
    <w:rsid w:val="00BE5473"/>
    <w:rsid w:val="00C402D0"/>
    <w:rsid w:val="00C762C6"/>
    <w:rsid w:val="00C8228D"/>
    <w:rsid w:val="00C87F88"/>
    <w:rsid w:val="00CA3598"/>
    <w:rsid w:val="00CA4E28"/>
    <w:rsid w:val="00CB2D14"/>
    <w:rsid w:val="00CB5EF2"/>
    <w:rsid w:val="00CC296E"/>
    <w:rsid w:val="00CC49FD"/>
    <w:rsid w:val="00CE1394"/>
    <w:rsid w:val="00D2123A"/>
    <w:rsid w:val="00D26C94"/>
    <w:rsid w:val="00D654D6"/>
    <w:rsid w:val="00DA3FFD"/>
    <w:rsid w:val="00DA53F0"/>
    <w:rsid w:val="00DA743E"/>
    <w:rsid w:val="00DB255C"/>
    <w:rsid w:val="00DB6868"/>
    <w:rsid w:val="00DE1C1F"/>
    <w:rsid w:val="00DE71C3"/>
    <w:rsid w:val="00E22C84"/>
    <w:rsid w:val="00E31CBF"/>
    <w:rsid w:val="00E50594"/>
    <w:rsid w:val="00E771E1"/>
    <w:rsid w:val="00EA581C"/>
    <w:rsid w:val="00ED00CC"/>
    <w:rsid w:val="00F04021"/>
    <w:rsid w:val="00F1299A"/>
    <w:rsid w:val="00F139A5"/>
    <w:rsid w:val="00F37A84"/>
    <w:rsid w:val="00F506F1"/>
    <w:rsid w:val="00F54822"/>
    <w:rsid w:val="00F6209D"/>
    <w:rsid w:val="00F71E30"/>
    <w:rsid w:val="00F72090"/>
    <w:rsid w:val="00F7295D"/>
    <w:rsid w:val="00FA24C8"/>
    <w:rsid w:val="00FC1A55"/>
    <w:rsid w:val="00FD1C1B"/>
    <w:rsid w:val="00FD2334"/>
    <w:rsid w:val="00FD7BD0"/>
    <w:rsid w:val="00FE0CB2"/>
    <w:rsid w:val="00FE16A6"/>
    <w:rsid w:val="00FE224F"/>
    <w:rsid w:val="00FF1270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EC24"/>
  <w15:docId w15:val="{227F84CF-9FDD-4E5D-B833-643596D5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255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130A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MAŘÍKOVÁ Ivana</cp:lastModifiedBy>
  <cp:revision>30</cp:revision>
  <dcterms:created xsi:type="dcterms:W3CDTF">2019-08-19T09:52:00Z</dcterms:created>
  <dcterms:modified xsi:type="dcterms:W3CDTF">2020-02-27T11:32:00Z</dcterms:modified>
</cp:coreProperties>
</file>