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78C" w:rsidRPr="00A85599" w:rsidRDefault="002D7F97" w:rsidP="002778A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Tisková zpráva, Praha, </w:t>
      </w:r>
      <w:r w:rsidR="005809B4"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2</w:t>
      </w:r>
      <w:r w:rsidR="00F4191D"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</w:t>
      </w:r>
      <w:r w:rsidR="0094670E"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 </w:t>
      </w:r>
      <w:r w:rsidR="005809B4"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7</w:t>
      </w:r>
      <w:r w:rsidR="00042651" w:rsidRPr="00A85599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 2019</w:t>
      </w:r>
    </w:p>
    <w:p w:rsidR="005C3A74" w:rsidRPr="00A85599" w:rsidRDefault="005C3A74" w:rsidP="005B1F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bookmarkStart w:id="0" w:name="m_3619999402317055345_m_-658888669980131"/>
      <w:bookmarkEnd w:id="0"/>
    </w:p>
    <w:p w:rsidR="005B1F10" w:rsidRPr="00A85599" w:rsidRDefault="005B1F10" w:rsidP="00A855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Rekordní z</w:t>
      </w:r>
      <w:r w:rsidR="00527594"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aměstnanost dopadá i na dovolenou</w:t>
      </w:r>
      <w:r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, </w:t>
      </w:r>
      <w:r w:rsid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br/>
      </w:r>
      <w:r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40 % lidí během ní </w:t>
      </w:r>
      <w:r w:rsidR="005A5B4A"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nedokáže</w:t>
      </w:r>
      <w:r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 </w:t>
      </w:r>
      <w:r w:rsidR="005A5B4A"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zapomenout </w:t>
      </w:r>
      <w:r w:rsidRPr="00A85599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na práci</w:t>
      </w:r>
    </w:p>
    <w:p w:rsidR="002778AD" w:rsidRPr="00A85599" w:rsidRDefault="002778AD" w:rsidP="002778A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</w:p>
    <w:p w:rsidR="00816D74" w:rsidRPr="00A85599" w:rsidRDefault="004C7CC1" w:rsidP="002778A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r w:rsidRPr="00A85599">
        <w:rPr>
          <w:rFonts w:ascii="Arial" w:hAnsi="Arial" w:cs="Arial"/>
          <w:bCs w:val="0"/>
          <w:sz w:val="20"/>
          <w:szCs w:val="20"/>
        </w:rPr>
        <w:t>Č</w:t>
      </w:r>
      <w:r w:rsidR="00816D74" w:rsidRPr="00A85599">
        <w:rPr>
          <w:rFonts w:ascii="Arial" w:hAnsi="Arial" w:cs="Arial"/>
          <w:bCs w:val="0"/>
          <w:sz w:val="20"/>
          <w:szCs w:val="20"/>
        </w:rPr>
        <w:t>e</w:t>
      </w:r>
      <w:r w:rsidRPr="00A85599">
        <w:rPr>
          <w:rFonts w:ascii="Arial" w:hAnsi="Arial" w:cs="Arial"/>
          <w:bCs w:val="0"/>
          <w:sz w:val="20"/>
          <w:szCs w:val="20"/>
        </w:rPr>
        <w:t>ští zaměstnanci volí během léta</w:t>
      </w:r>
      <w:r w:rsidR="00816D74" w:rsidRPr="00A85599">
        <w:rPr>
          <w:rFonts w:ascii="Arial" w:hAnsi="Arial" w:cs="Arial"/>
          <w:bCs w:val="0"/>
          <w:sz w:val="20"/>
          <w:szCs w:val="20"/>
        </w:rPr>
        <w:t xml:space="preserve"> </w:t>
      </w:r>
      <w:r w:rsidRPr="00A85599">
        <w:rPr>
          <w:rFonts w:ascii="Arial" w:hAnsi="Arial" w:cs="Arial"/>
          <w:bCs w:val="0"/>
          <w:sz w:val="20"/>
          <w:szCs w:val="20"/>
        </w:rPr>
        <w:t>n</w:t>
      </w:r>
      <w:r w:rsidR="00816D74" w:rsidRPr="00A85599">
        <w:rPr>
          <w:rFonts w:ascii="Arial" w:hAnsi="Arial" w:cs="Arial"/>
          <w:bCs w:val="0"/>
          <w:sz w:val="20"/>
          <w:szCs w:val="20"/>
        </w:rPr>
        <w:t>ejčastěji souvislé volno v</w:t>
      </w:r>
      <w:r w:rsidR="004A34F7" w:rsidRPr="00A85599">
        <w:rPr>
          <w:rFonts w:ascii="Arial" w:hAnsi="Arial" w:cs="Arial"/>
          <w:bCs w:val="0"/>
          <w:sz w:val="20"/>
          <w:szCs w:val="20"/>
        </w:rPr>
        <w:t> </w:t>
      </w:r>
      <w:r w:rsidR="00816D74" w:rsidRPr="00A85599">
        <w:rPr>
          <w:rFonts w:ascii="Arial" w:hAnsi="Arial" w:cs="Arial"/>
          <w:bCs w:val="0"/>
          <w:sz w:val="20"/>
          <w:szCs w:val="20"/>
        </w:rPr>
        <w:t>délce</w:t>
      </w:r>
      <w:r w:rsidR="004A34F7" w:rsidRPr="00A85599">
        <w:rPr>
          <w:rFonts w:ascii="Arial" w:hAnsi="Arial" w:cs="Arial"/>
          <w:bCs w:val="0"/>
          <w:sz w:val="20"/>
          <w:szCs w:val="20"/>
        </w:rPr>
        <w:t xml:space="preserve"> alespoň</w:t>
      </w:r>
      <w:r w:rsidR="00816D74" w:rsidRPr="00A85599">
        <w:rPr>
          <w:rFonts w:ascii="Arial" w:hAnsi="Arial" w:cs="Arial"/>
          <w:bCs w:val="0"/>
          <w:sz w:val="20"/>
          <w:szCs w:val="20"/>
        </w:rPr>
        <w:t xml:space="preserve"> dvou týdnů, </w:t>
      </w:r>
      <w:r w:rsidR="00DE30A4" w:rsidRPr="00A85599">
        <w:rPr>
          <w:rFonts w:ascii="Arial" w:hAnsi="Arial" w:cs="Arial"/>
          <w:bCs w:val="0"/>
          <w:sz w:val="20"/>
          <w:szCs w:val="20"/>
        </w:rPr>
        <w:t>přesto více než 40 % lidí není schopno během dovolené zapomenout na práci.</w:t>
      </w:r>
      <w:r w:rsidR="004A34F7" w:rsidRPr="00A85599">
        <w:rPr>
          <w:rFonts w:ascii="Arial" w:hAnsi="Arial" w:cs="Arial"/>
          <w:bCs w:val="0"/>
          <w:sz w:val="20"/>
          <w:szCs w:val="20"/>
        </w:rPr>
        <w:t xml:space="preserve"> </w:t>
      </w:r>
      <w:r w:rsidR="002819D2" w:rsidRPr="00A85599">
        <w:rPr>
          <w:rFonts w:ascii="Arial" w:hAnsi="Arial" w:cs="Arial"/>
          <w:bCs w:val="0"/>
          <w:sz w:val="20"/>
          <w:szCs w:val="20"/>
        </w:rPr>
        <w:t>Zaměstnavatelům se totiž často nedaří zvládat negativní projevy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 rekordní </w:t>
      </w:r>
      <w:r w:rsidR="002819D2" w:rsidRPr="00A85599">
        <w:rPr>
          <w:rFonts w:ascii="Arial" w:hAnsi="Arial" w:cs="Arial"/>
          <w:bCs w:val="0"/>
          <w:sz w:val="20"/>
          <w:szCs w:val="20"/>
        </w:rPr>
        <w:t>zaměstnanosti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. Čtvrtina </w:t>
      </w:r>
      <w:r w:rsidR="0036148B" w:rsidRPr="00A85599">
        <w:rPr>
          <w:rFonts w:ascii="Arial" w:hAnsi="Arial" w:cs="Arial"/>
          <w:bCs w:val="0"/>
          <w:sz w:val="20"/>
          <w:szCs w:val="20"/>
        </w:rPr>
        <w:t>lidí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 se </w:t>
      </w:r>
      <w:r w:rsidR="002819D2" w:rsidRPr="00A85599">
        <w:rPr>
          <w:rFonts w:ascii="Arial" w:hAnsi="Arial" w:cs="Arial"/>
          <w:bCs w:val="0"/>
          <w:sz w:val="20"/>
          <w:szCs w:val="20"/>
        </w:rPr>
        <w:t xml:space="preserve">tak </w:t>
      </w:r>
      <w:r w:rsidR="00A207EF" w:rsidRPr="00A85599">
        <w:rPr>
          <w:rFonts w:ascii="Arial" w:hAnsi="Arial" w:cs="Arial"/>
          <w:bCs w:val="0"/>
          <w:sz w:val="20"/>
          <w:szCs w:val="20"/>
        </w:rPr>
        <w:t>strachuje, co se v práci během dovolené stane</w:t>
      </w:r>
      <w:r w:rsidR="002819D2" w:rsidRPr="00A85599">
        <w:rPr>
          <w:rFonts w:ascii="Arial" w:hAnsi="Arial" w:cs="Arial"/>
          <w:bCs w:val="0"/>
          <w:sz w:val="20"/>
          <w:szCs w:val="20"/>
        </w:rPr>
        <w:t xml:space="preserve"> a kolik se jim nakupí práce,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 </w:t>
      </w:r>
      <w:r w:rsidR="002819D2" w:rsidRPr="00A85599">
        <w:rPr>
          <w:rFonts w:ascii="Arial" w:hAnsi="Arial" w:cs="Arial"/>
          <w:bCs w:val="0"/>
          <w:sz w:val="20"/>
          <w:szCs w:val="20"/>
        </w:rPr>
        <w:t>někteří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 dokonce </w:t>
      </w:r>
      <w:r w:rsidR="0036148B" w:rsidRPr="00A85599">
        <w:rPr>
          <w:rFonts w:ascii="Arial" w:hAnsi="Arial" w:cs="Arial"/>
          <w:bCs w:val="0"/>
          <w:sz w:val="20"/>
          <w:szCs w:val="20"/>
        </w:rPr>
        <w:t xml:space="preserve">během volna </w:t>
      </w:r>
      <w:r w:rsidR="00A207EF" w:rsidRPr="00A85599">
        <w:rPr>
          <w:rFonts w:ascii="Arial" w:hAnsi="Arial" w:cs="Arial"/>
          <w:bCs w:val="0"/>
          <w:sz w:val="20"/>
          <w:szCs w:val="20"/>
        </w:rPr>
        <w:t>dohán</w:t>
      </w:r>
      <w:r w:rsidR="0036148B" w:rsidRPr="00A85599">
        <w:rPr>
          <w:rFonts w:ascii="Arial" w:hAnsi="Arial" w:cs="Arial"/>
          <w:bCs w:val="0"/>
          <w:sz w:val="20"/>
          <w:szCs w:val="20"/>
        </w:rPr>
        <w:t>ěj</w:t>
      </w:r>
      <w:r w:rsidR="00A207EF" w:rsidRPr="00A85599">
        <w:rPr>
          <w:rFonts w:ascii="Arial" w:hAnsi="Arial" w:cs="Arial"/>
          <w:bCs w:val="0"/>
          <w:sz w:val="20"/>
          <w:szCs w:val="20"/>
        </w:rPr>
        <w:t xml:space="preserve">í nedokončenou práci. </w:t>
      </w:r>
      <w:r w:rsidR="00816D74" w:rsidRPr="00A85599">
        <w:rPr>
          <w:rFonts w:ascii="Arial" w:hAnsi="Arial" w:cs="Arial"/>
          <w:bCs w:val="0"/>
          <w:sz w:val="20"/>
          <w:szCs w:val="20"/>
        </w:rPr>
        <w:t>Vyplývá to z</w:t>
      </w:r>
      <w:r w:rsidR="00CE0FB0" w:rsidRPr="00A85599">
        <w:rPr>
          <w:rFonts w:ascii="Arial" w:hAnsi="Arial" w:cs="Arial"/>
          <w:bCs w:val="0"/>
          <w:sz w:val="20"/>
          <w:szCs w:val="20"/>
        </w:rPr>
        <w:t> průzkumu společnosti Up Česká republika mezi 525 respondenty.</w:t>
      </w:r>
    </w:p>
    <w:p w:rsidR="001310E9" w:rsidRPr="00A85599" w:rsidRDefault="001310E9" w:rsidP="002778A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</w:p>
    <w:p w:rsidR="001310E9" w:rsidRPr="00A85599" w:rsidRDefault="001310E9" w:rsidP="00131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Přetížení zaměstnanci nedokážou „vypnout“</w:t>
      </w:r>
    </w:p>
    <w:p w:rsidR="001310E9" w:rsidRPr="00A85599" w:rsidRDefault="001310E9" w:rsidP="001310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Dalo by se očekávat, že jedním z dopadů rekordní zaměstnanosti bude eliminace strachu o práci u českých zaměstnanců, kteří se na dovolené bez problému oddají odpočinku. Pravdou je ale spíše opak. Většině zaměstnanců tot</w:t>
      </w:r>
      <w:r w:rsidR="001F673F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iž přibylo množství práce,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pracují přesčasy nebo dělají práci za své kolegy, navíc na pracovišti často panuje napjatá atmosféra.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Ukazuje se tak, že dovolená kvůli rekordní zaměstnanosti spíše nefunguje, když 42 % lidí </w:t>
      </w:r>
      <w:r w:rsidR="00C64CB8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 práci </w:t>
      </w:r>
      <w:r w:rsidR="007F012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během volna </w:t>
      </w:r>
      <w:r w:rsidR="00C64CB8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vůbec</w:t>
      </w:r>
      <w:r w:rsidR="007F012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nedokáže zapomenout.</w:t>
      </w:r>
    </w:p>
    <w:p w:rsidR="00816D74" w:rsidRPr="00A85599" w:rsidRDefault="00816D74" w:rsidP="002778A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</w:p>
    <w:p w:rsidR="002509C6" w:rsidRPr="00A85599" w:rsidRDefault="002509C6" w:rsidP="002509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Delší dovolená neznamená </w:t>
      </w:r>
      <w:r w:rsidR="009840BA" w:rsidRPr="00A8559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automaticky kvalitnější</w:t>
      </w:r>
    </w:p>
    <w:p w:rsidR="0098484B" w:rsidRPr="00A85599" w:rsidRDefault="00CF6DB4" w:rsidP="00CF6DB4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Zaměstnavatelé se snaží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 </w:t>
      </w:r>
      <w:r w:rsidR="002819D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přetížení zaměstnanců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reagovat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především 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nabídkou dovolené navíc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</w:t>
      </w:r>
      <w:r w:rsidR="00E62EA6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Téměř dvě třetiny zaměstnanců tak odjíždějí na letní prázdniny nejméně na dva souvislé týdny.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Z průzkumu však vyplývá, že</w:t>
      </w:r>
      <w:r w:rsidR="00A04B4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F33D3A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samotné </w:t>
      </w:r>
      <w:r w:rsidR="00661E95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navyšování délky dovolené </w:t>
      </w:r>
      <w:r w:rsidR="00E1249A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problém ne</w:t>
      </w:r>
      <w:r w:rsidR="00A04B4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řeší.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C72BE5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Kvůli </w:t>
      </w:r>
      <w:r w:rsidR="002819D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příliš krátké</w:t>
      </w:r>
      <w:r w:rsidR="00E1249A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mu volnu</w:t>
      </w:r>
      <w:r w:rsidR="00C72BE5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se totiž nedokáže od své práce oprostit jen 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12 % dotazovaných</w:t>
      </w:r>
      <w:r w:rsidR="00C72BE5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 Hlavním problémem je spíše kvalita odpočinku</w:t>
      </w:r>
      <w:r w:rsidR="0098484B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</w:t>
      </w:r>
    </w:p>
    <w:p w:rsidR="000718F0" w:rsidRPr="00A85599" w:rsidRDefault="000718F0" w:rsidP="00CF6DB4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:rsidR="000718F0" w:rsidRPr="00A85599" w:rsidRDefault="000718F0" w:rsidP="000718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„</w:t>
      </w:r>
      <w:r w:rsidR="00053455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Zaměstnavatelé se v posledních letech předhánějí v počtu dní dovolené, které nabízejí, 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v praxi pak</w:t>
      </w:r>
      <w:r w:rsidR="00053455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ale často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nedokážou lidem zajistit stoprocentní volno a klid</w:t>
      </w:r>
      <w:r w:rsidR="00053455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. </w:t>
      </w: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Aby si dovolená zachovala svůj smysl jako nástroj k regeneraci, je nutné </w:t>
      </w:r>
      <w:r w:rsidR="00AB718F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umět </w:t>
      </w: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zaměstnancům </w:t>
      </w:r>
      <w:r w:rsidR="00AB718F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zajistit prosto</w:t>
      </w: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r na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opravdu</w:t>
      </w: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plnohodnotný odpočinek,“ 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vysvětluje </w:t>
      </w:r>
      <w:r w:rsidR="002819D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Petra Prchlíková, ředitelka prodeje společnosti Up Česká republika</w:t>
      </w: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.</w:t>
      </w:r>
    </w:p>
    <w:p w:rsidR="000718F0" w:rsidRPr="00A85599" w:rsidRDefault="000718F0" w:rsidP="000718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:rsidR="000718F0" w:rsidRPr="00A85599" w:rsidRDefault="000718F0" w:rsidP="000718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Myšlenky na práci kazí potenciál dovolené</w:t>
      </w:r>
    </w:p>
    <w:p w:rsidR="008A68B1" w:rsidRPr="00A85599" w:rsidRDefault="00F33D3A" w:rsidP="000718F0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Právě </w:t>
      </w:r>
      <w:r w:rsidR="008305EA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kvalita</w:t>
      </w:r>
      <w:r w:rsidR="00A04B4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odpočinku</w:t>
      </w:r>
      <w:r w:rsidR="008305EA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od práce je problém pro téměř čtvrtinu zaměstnanců. </w:t>
      </w:r>
      <w:r w:rsidR="00DB051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Většina z nich se totiž v průběhu dovolené obává, že během jejich absenc</w:t>
      </w:r>
      <w:r w:rsidR="008A68B1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e dojde na pracovišti k </w:t>
      </w:r>
      <w:r w:rsidR="00DB051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problémům, které budou muset řešit ještě v průběhu dovolené, případně ihned po návratu do práce. </w:t>
      </w:r>
    </w:p>
    <w:p w:rsidR="008A68B1" w:rsidRPr="00A85599" w:rsidRDefault="008A68B1" w:rsidP="000718F0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:rsidR="00C64CB8" w:rsidRPr="00A85599" w:rsidRDefault="008A68B1" w:rsidP="000718F0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Ostatním</w:t>
      </w:r>
      <w:r w:rsidR="0054197F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se nedaří vyčistit si na dovolené hlavu a zapomenout na práci proto, že ani během volna nepřestávají pracovat. Buď vyřizují pracovní e-maily a hovory nebo dohánějí, co nestihli. </w:t>
      </w:r>
      <w:r w:rsidR="00DB051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Některým zaměstnancům se pak</w:t>
      </w:r>
      <w:r w:rsidR="006E4638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o práci během dovolené dokonce zdá.</w:t>
      </w:r>
      <w:r w:rsidR="00DB0512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6E4638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Tyto stavy přitom </w:t>
      </w:r>
      <w:r w:rsidR="00C64CB8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mohou zaměstnavatelé zásadně ovlivnit</w:t>
      </w:r>
      <w:r w:rsidR="00A04B44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54197F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samotným plánováním dovolených.</w:t>
      </w:r>
    </w:p>
    <w:p w:rsidR="0098484B" w:rsidRPr="00A85599" w:rsidRDefault="0098484B" w:rsidP="00CF6DB4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:rsidR="00DB0512" w:rsidRPr="00A85599" w:rsidRDefault="0098484B" w:rsidP="005419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„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V rámci přípra</w:t>
      </w:r>
      <w:r w:rsidR="008A68B1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v na období dovolených je 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vhodné najít takové cesty, které umožní zaměst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nancům volnější pracovní režim. Patří mezi ně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eliminace nových zakázek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, zapojení externí pracovní síly nebo využití 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flexibilní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ch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pracovní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ch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úvazk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ů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jako je práce 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z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 domova </w:t>
      </w:r>
      <w:r w:rsidR="002819D2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nebo</w:t>
      </w:r>
      <w:r w:rsidR="00A26443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prodloužené víkendy</w:t>
      </w:r>
      <w:r w:rsidR="005A5B4A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,</w:t>
      </w:r>
      <w:r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“</w:t>
      </w:r>
      <w:r w:rsidR="005A5B4A" w:rsidRPr="00A85599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</w:t>
      </w:r>
      <w:r w:rsidR="008A68B1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dodává</w:t>
      </w:r>
      <w:r w:rsidR="0054197F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Petra Prchlíková</w:t>
      </w:r>
      <w:r w:rsidR="008A68B1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="0054197F" w:rsidRPr="00A85599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</w:p>
    <w:p w:rsidR="00C762C6" w:rsidRPr="00A85599" w:rsidRDefault="00DB255C" w:rsidP="002778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42DBC" wp14:editId="73AB7DC7">
                <wp:simplePos x="0" y="0"/>
                <wp:positionH relativeFrom="column">
                  <wp:posOffset>-42545</wp:posOffset>
                </wp:positionH>
                <wp:positionV relativeFrom="paragraph">
                  <wp:posOffset>270510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124B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21.3pt" to="45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lexAEAAMIDAAAOAAAAZHJzL2Uyb0RvYy54bWysU81u2zAMvg/YOwi6N7YDtCiMOD202C7D&#10;FuznAVSZijVIoiBpsfMoO+4B9hTF3muUkrhFW6DosAstSvxIfh/p1dVkDdtBiBpdx5tFzRk4ib12&#10;245/+/ru7JKzmITrhUEHHd9D5Ffrt29Wo29hiQOaHgKjJC62o+/4kJJvqyrKAayIC/Tg6FFhsCKR&#10;G7ZVH8RI2a2plnV9UY0Yeh9QQox0e3N45OuSXymQ6ZNSERIzHafeUrGh2Ntsq/VKtNsg/KDlsQ3x&#10;D11YoR0VnVPdiCTYj6CfpLJaBoyo0kKirVApLaFwIDZN/YjNl0F4KFxInOhnmeL/Sys/7jaB6Z5m&#10;x5kTlka0+fPz7re9+8Wix++O+mNNlmn0saXoa7cJRy/6TcicJxVs/hIbNhVp97O0MCUm6fL8sqmX&#10;5zQBeXqr7oE+xPQe0LJ86LjRLrMWrdh9iImKUegphJzcyKF0OaW9gRxs3GdQxISKNQVddgiuTWA7&#10;QdMXUoJLF5kK5SvRGaa0MTOwfhl4jM9QKPv1GvCMKJXRpRlstcPwXPU0FfWpZXWIPylw4J0luMV+&#10;X4ZSpKFFKQyPS5038aFf4Pe/3vovAAAA//8DAFBLAwQUAAYACAAAACEAD3vu4NwAAAAIAQAADwAA&#10;AGRycy9kb3ducmV2LnhtbEyPwU7DMBBE70j8g7VI3FqHAqGEOBUqAnFDLYjzNt7GAXsdYjcJfD1G&#10;HOA4O6OZt+VqclYM1IfWs4KzeQaCuPa65UbBy/P9bAkiRGSN1jMp+KQAq+r4qMRC+5E3NGxjI1IJ&#10;hwIVmBi7QspQG3IY5r4jTt7e9w5jkn0jdY9jKndWLrIslw5bTgsGO1obqt+3B6dAbszXnVzj28fl&#10;+PiA0+uwl/ZJqdOT6fYGRKQp/oXhBz+hQ5WYdv7AOgirYJZfpaSCi0UOIvnX2fIcxO73IKtS/n+g&#10;+gYAAP//AwBQSwECLQAUAAYACAAAACEAtoM4kv4AAADhAQAAEwAAAAAAAAAAAAAAAAAAAAAAW0Nv&#10;bnRlbnRfVHlwZXNdLnhtbFBLAQItABQABgAIAAAAIQA4/SH/1gAAAJQBAAALAAAAAAAAAAAAAAAA&#10;AC8BAABfcmVscy8ucmVsc1BLAQItABQABgAIAAAAIQCnPKlexAEAAMIDAAAOAAAAAAAAAAAAAAAA&#10;AC4CAABkcnMvZTJvRG9jLnhtbFBLAQItABQABgAIAAAAIQAPe+7g3AAAAAgBAAAPAAAAAAAAAAAA&#10;AAAAAB4EAABkcnMvZG93bnJldi54bWxQSwUGAAAAAAQABADzAAAAJwUAAAAA&#10;" strokecolor="#f68c36 [3049]"/>
            </w:pict>
          </mc:Fallback>
        </mc:AlternateContent>
      </w:r>
    </w:p>
    <w:p w:rsidR="00A04B44" w:rsidRPr="00A85599" w:rsidRDefault="001F2DD1" w:rsidP="006F114C">
      <w:pPr>
        <w:shd w:val="clear" w:color="auto" w:fill="FFFFFF"/>
        <w:spacing w:before="100" w:before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A8559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Up Česká republika s.r.o., která zahájila své působení na českém trhu v roce 1995, je součástí mezinárodní skupiny Up Group, která dnes působí v </w:t>
      </w:r>
      <w:r w:rsidR="007B61A4" w:rsidRPr="00A85599">
        <w:rPr>
          <w:rFonts w:ascii="Arial" w:eastAsia="Times New Roman" w:hAnsi="Arial" w:cs="Arial"/>
          <w:bCs/>
          <w:sz w:val="20"/>
          <w:szCs w:val="20"/>
          <w:lang w:eastAsia="cs-CZ"/>
        </w:rPr>
        <w:t>19</w:t>
      </w:r>
      <w:r w:rsidRPr="00A8559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zemích celého světa. Up ČR se specializuje na lidské zdroje a personální poradenství, ale nabízí rovněž inovativní řešení v oblasti marketingu a strategického rozvoje firem. Schopnost analyzovat aktuální situaci klientů a navrhovat a uvádět do praxe efektivní benefitní systémy a věrnostní programy, řadí společnost Up ČR k lídrům trhu určujícím trend v této oblasti. Více informací o společnosti na </w:t>
      </w:r>
      <w:hyperlink r:id="rId7" w:history="1">
        <w:r w:rsidRPr="00A85599">
          <w:rPr>
            <w:rStyle w:val="Hypertextovodkaz"/>
            <w:rFonts w:ascii="Arial" w:eastAsia="Times New Roman" w:hAnsi="Arial" w:cs="Arial"/>
            <w:bCs/>
            <w:color w:val="auto"/>
            <w:sz w:val="20"/>
            <w:szCs w:val="20"/>
            <w:lang w:eastAsia="cs-CZ"/>
          </w:rPr>
          <w:t>htt</w:t>
        </w:r>
        <w:bookmarkStart w:id="1" w:name="_GoBack"/>
        <w:bookmarkEnd w:id="1"/>
        <w:r w:rsidRPr="00A85599">
          <w:rPr>
            <w:rStyle w:val="Hypertextovodkaz"/>
            <w:rFonts w:ascii="Arial" w:eastAsia="Times New Roman" w:hAnsi="Arial" w:cs="Arial"/>
            <w:bCs/>
            <w:color w:val="auto"/>
            <w:sz w:val="20"/>
            <w:szCs w:val="20"/>
            <w:lang w:eastAsia="cs-CZ"/>
          </w:rPr>
          <w:t>p://www.upcz.cz/</w:t>
        </w:r>
      </w:hyperlink>
      <w:r w:rsidRPr="00A85599">
        <w:rPr>
          <w:rStyle w:val="Hypertextovodkaz"/>
          <w:rFonts w:ascii="Arial" w:eastAsia="Times New Roman" w:hAnsi="Arial" w:cs="Arial"/>
          <w:bCs/>
          <w:color w:val="auto"/>
          <w:sz w:val="20"/>
          <w:szCs w:val="20"/>
          <w:u w:val="none"/>
          <w:lang w:eastAsia="cs-CZ"/>
        </w:rPr>
        <w:t>.</w:t>
      </w:r>
    </w:p>
    <w:sectPr w:rsidR="00A04B44" w:rsidRPr="00A855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5935" w:rsidRDefault="001C5935" w:rsidP="0030785E">
      <w:pPr>
        <w:spacing w:after="0" w:line="240" w:lineRule="auto"/>
      </w:pPr>
      <w:r>
        <w:separator/>
      </w:r>
    </w:p>
  </w:endnote>
  <w:endnote w:type="continuationSeparator" w:id="0">
    <w:p w:rsidR="001C5935" w:rsidRDefault="001C5935" w:rsidP="003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5935" w:rsidRDefault="001C5935" w:rsidP="0030785E">
      <w:pPr>
        <w:spacing w:after="0" w:line="240" w:lineRule="auto"/>
      </w:pPr>
      <w:r>
        <w:separator/>
      </w:r>
    </w:p>
  </w:footnote>
  <w:footnote w:type="continuationSeparator" w:id="0">
    <w:p w:rsidR="001C5935" w:rsidRDefault="001C5935" w:rsidP="003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0785E" w:rsidRDefault="0030785E" w:rsidP="0030785E">
    <w:pPr>
      <w:pStyle w:val="Zhlav"/>
      <w:jc w:val="right"/>
    </w:pPr>
    <w:r w:rsidRPr="002778AD">
      <w:rPr>
        <w:rFonts w:ascii="Tahoma" w:eastAsia="Times New Roman" w:hAnsi="Tahoma" w:cs="Tahoma"/>
        <w:noProof/>
        <w:color w:val="222222"/>
        <w:sz w:val="20"/>
        <w:szCs w:val="20"/>
        <w:lang w:eastAsia="cs-CZ"/>
      </w:rPr>
      <w:drawing>
        <wp:inline distT="0" distB="0" distL="0" distR="0" wp14:anchorId="344FC0BB" wp14:editId="72A1A1DE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120BE"/>
    <w:rsid w:val="00021219"/>
    <w:rsid w:val="0002494E"/>
    <w:rsid w:val="00042651"/>
    <w:rsid w:val="0004574E"/>
    <w:rsid w:val="000507E6"/>
    <w:rsid w:val="00053455"/>
    <w:rsid w:val="000718F0"/>
    <w:rsid w:val="000C59D2"/>
    <w:rsid w:val="0010532A"/>
    <w:rsid w:val="00105F13"/>
    <w:rsid w:val="00107276"/>
    <w:rsid w:val="001310E9"/>
    <w:rsid w:val="00134831"/>
    <w:rsid w:val="00146E85"/>
    <w:rsid w:val="00197D62"/>
    <w:rsid w:val="001A2A38"/>
    <w:rsid w:val="001C5935"/>
    <w:rsid w:val="001C7F8D"/>
    <w:rsid w:val="001D6838"/>
    <w:rsid w:val="001E2235"/>
    <w:rsid w:val="001F2DD1"/>
    <w:rsid w:val="001F673F"/>
    <w:rsid w:val="002131CF"/>
    <w:rsid w:val="00215393"/>
    <w:rsid w:val="00225B1F"/>
    <w:rsid w:val="00241733"/>
    <w:rsid w:val="00241C7F"/>
    <w:rsid w:val="002453AC"/>
    <w:rsid w:val="002509C6"/>
    <w:rsid w:val="0026578C"/>
    <w:rsid w:val="00274E4A"/>
    <w:rsid w:val="002778AD"/>
    <w:rsid w:val="002819D2"/>
    <w:rsid w:val="0028315E"/>
    <w:rsid w:val="00291D57"/>
    <w:rsid w:val="002D58CA"/>
    <w:rsid w:val="002D7F97"/>
    <w:rsid w:val="002F15EF"/>
    <w:rsid w:val="0030343C"/>
    <w:rsid w:val="0030785E"/>
    <w:rsid w:val="00315F70"/>
    <w:rsid w:val="00343DA2"/>
    <w:rsid w:val="0036148B"/>
    <w:rsid w:val="003716F6"/>
    <w:rsid w:val="003867E6"/>
    <w:rsid w:val="00387752"/>
    <w:rsid w:val="003B21AE"/>
    <w:rsid w:val="003C3884"/>
    <w:rsid w:val="003E22DA"/>
    <w:rsid w:val="003E5C2F"/>
    <w:rsid w:val="003F6867"/>
    <w:rsid w:val="003F7965"/>
    <w:rsid w:val="0041107E"/>
    <w:rsid w:val="00452715"/>
    <w:rsid w:val="004637D8"/>
    <w:rsid w:val="004643AB"/>
    <w:rsid w:val="0046682F"/>
    <w:rsid w:val="00477E8C"/>
    <w:rsid w:val="0048431F"/>
    <w:rsid w:val="004A34F7"/>
    <w:rsid w:val="004B553F"/>
    <w:rsid w:val="004C6AA9"/>
    <w:rsid w:val="004C7CC1"/>
    <w:rsid w:val="004D192A"/>
    <w:rsid w:val="00520690"/>
    <w:rsid w:val="00521EEB"/>
    <w:rsid w:val="00527594"/>
    <w:rsid w:val="0054197F"/>
    <w:rsid w:val="00547760"/>
    <w:rsid w:val="005809B4"/>
    <w:rsid w:val="005A5B4A"/>
    <w:rsid w:val="005B1F10"/>
    <w:rsid w:val="005B539F"/>
    <w:rsid w:val="005C3A74"/>
    <w:rsid w:val="005D396F"/>
    <w:rsid w:val="005E3EA4"/>
    <w:rsid w:val="005F0344"/>
    <w:rsid w:val="0060137C"/>
    <w:rsid w:val="00622AD0"/>
    <w:rsid w:val="00630306"/>
    <w:rsid w:val="006524D3"/>
    <w:rsid w:val="00661E95"/>
    <w:rsid w:val="00666100"/>
    <w:rsid w:val="006A27A4"/>
    <w:rsid w:val="006A328B"/>
    <w:rsid w:val="006B4795"/>
    <w:rsid w:val="006C37DB"/>
    <w:rsid w:val="006D4654"/>
    <w:rsid w:val="006D72D7"/>
    <w:rsid w:val="006E4638"/>
    <w:rsid w:val="006F114C"/>
    <w:rsid w:val="006F1ACC"/>
    <w:rsid w:val="00700A96"/>
    <w:rsid w:val="00702ADD"/>
    <w:rsid w:val="007310FF"/>
    <w:rsid w:val="00782F1C"/>
    <w:rsid w:val="00784EC8"/>
    <w:rsid w:val="00790211"/>
    <w:rsid w:val="007A0A78"/>
    <w:rsid w:val="007A3CD3"/>
    <w:rsid w:val="007B088D"/>
    <w:rsid w:val="007B61A4"/>
    <w:rsid w:val="007C201D"/>
    <w:rsid w:val="007C4371"/>
    <w:rsid w:val="007F0124"/>
    <w:rsid w:val="007F224C"/>
    <w:rsid w:val="007F4212"/>
    <w:rsid w:val="00807621"/>
    <w:rsid w:val="008130A6"/>
    <w:rsid w:val="00815E82"/>
    <w:rsid w:val="00816D74"/>
    <w:rsid w:val="008305EA"/>
    <w:rsid w:val="008374AF"/>
    <w:rsid w:val="00847BC2"/>
    <w:rsid w:val="00852EA9"/>
    <w:rsid w:val="00857F0F"/>
    <w:rsid w:val="008A68B1"/>
    <w:rsid w:val="008B2BC2"/>
    <w:rsid w:val="008B42F6"/>
    <w:rsid w:val="008D228D"/>
    <w:rsid w:val="00915347"/>
    <w:rsid w:val="00917DF1"/>
    <w:rsid w:val="00925FE6"/>
    <w:rsid w:val="00935BB4"/>
    <w:rsid w:val="0094670E"/>
    <w:rsid w:val="009565E4"/>
    <w:rsid w:val="00967CD6"/>
    <w:rsid w:val="0097370E"/>
    <w:rsid w:val="009840BA"/>
    <w:rsid w:val="0098484B"/>
    <w:rsid w:val="009B4E87"/>
    <w:rsid w:val="009C25EE"/>
    <w:rsid w:val="009C546A"/>
    <w:rsid w:val="009D5439"/>
    <w:rsid w:val="009D77DB"/>
    <w:rsid w:val="009F460E"/>
    <w:rsid w:val="00A04B44"/>
    <w:rsid w:val="00A12C00"/>
    <w:rsid w:val="00A207EF"/>
    <w:rsid w:val="00A23603"/>
    <w:rsid w:val="00A26443"/>
    <w:rsid w:val="00A506DA"/>
    <w:rsid w:val="00A85599"/>
    <w:rsid w:val="00A912A6"/>
    <w:rsid w:val="00A9502D"/>
    <w:rsid w:val="00AA19B9"/>
    <w:rsid w:val="00AB718F"/>
    <w:rsid w:val="00AC4C45"/>
    <w:rsid w:val="00AE401D"/>
    <w:rsid w:val="00B20EDE"/>
    <w:rsid w:val="00B3361A"/>
    <w:rsid w:val="00B42866"/>
    <w:rsid w:val="00B45921"/>
    <w:rsid w:val="00B47AF4"/>
    <w:rsid w:val="00B81111"/>
    <w:rsid w:val="00BA5224"/>
    <w:rsid w:val="00BB69FF"/>
    <w:rsid w:val="00BE3D4F"/>
    <w:rsid w:val="00BF7C4C"/>
    <w:rsid w:val="00C2504D"/>
    <w:rsid w:val="00C30499"/>
    <w:rsid w:val="00C350CC"/>
    <w:rsid w:val="00C402D0"/>
    <w:rsid w:val="00C64CB8"/>
    <w:rsid w:val="00C72BE5"/>
    <w:rsid w:val="00C762C6"/>
    <w:rsid w:val="00C8228D"/>
    <w:rsid w:val="00C86C2A"/>
    <w:rsid w:val="00C8768B"/>
    <w:rsid w:val="00CA0A80"/>
    <w:rsid w:val="00CA2A59"/>
    <w:rsid w:val="00CA3B0C"/>
    <w:rsid w:val="00CE0FB0"/>
    <w:rsid w:val="00CE5E25"/>
    <w:rsid w:val="00CF6DB4"/>
    <w:rsid w:val="00D14A34"/>
    <w:rsid w:val="00D26C94"/>
    <w:rsid w:val="00D36FA7"/>
    <w:rsid w:val="00D777E2"/>
    <w:rsid w:val="00D83C33"/>
    <w:rsid w:val="00D9080D"/>
    <w:rsid w:val="00DB0512"/>
    <w:rsid w:val="00DB0562"/>
    <w:rsid w:val="00DB255C"/>
    <w:rsid w:val="00DD2979"/>
    <w:rsid w:val="00DD418B"/>
    <w:rsid w:val="00DE30A4"/>
    <w:rsid w:val="00DE46B6"/>
    <w:rsid w:val="00E1249A"/>
    <w:rsid w:val="00E149D4"/>
    <w:rsid w:val="00E31CBF"/>
    <w:rsid w:val="00E36A17"/>
    <w:rsid w:val="00E46B19"/>
    <w:rsid w:val="00E46B79"/>
    <w:rsid w:val="00E5110D"/>
    <w:rsid w:val="00E62BE4"/>
    <w:rsid w:val="00E62EA6"/>
    <w:rsid w:val="00E7382D"/>
    <w:rsid w:val="00E7540F"/>
    <w:rsid w:val="00E82719"/>
    <w:rsid w:val="00E91304"/>
    <w:rsid w:val="00EE3A20"/>
    <w:rsid w:val="00F07537"/>
    <w:rsid w:val="00F17B61"/>
    <w:rsid w:val="00F20AAC"/>
    <w:rsid w:val="00F33D3A"/>
    <w:rsid w:val="00F37A2B"/>
    <w:rsid w:val="00F412C2"/>
    <w:rsid w:val="00F4191D"/>
    <w:rsid w:val="00F4675E"/>
    <w:rsid w:val="00F4736C"/>
    <w:rsid w:val="00FA24C8"/>
    <w:rsid w:val="00FD2334"/>
    <w:rsid w:val="00FE06C5"/>
    <w:rsid w:val="00FE224F"/>
    <w:rsid w:val="00FF1270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F22E"/>
  <w15:docId w15:val="{C1D2E3F9-54CB-4B55-9662-3CCAE15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character" w:customStyle="1" w:styleId="il">
    <w:name w:val="il"/>
    <w:basedOn w:val="Standardnpsmoodstavce"/>
    <w:rsid w:val="004D192A"/>
  </w:style>
  <w:style w:type="paragraph" w:customStyle="1" w:styleId="m-2697167329642527613m-5624037862077713974nadpis21">
    <w:name w:val="m_-2697167329642527613m_-5624037862077713974nadpis21"/>
    <w:basedOn w:val="Normln"/>
    <w:rsid w:val="004D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2697167329642527613m-5624037862077713974msolistparagraph">
    <w:name w:val="m_-2697167329642527613m_-5624037862077713974msolistparagraph"/>
    <w:basedOn w:val="Normln"/>
    <w:rsid w:val="004D1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85E"/>
  </w:style>
  <w:style w:type="paragraph" w:styleId="Zpat">
    <w:name w:val="footer"/>
    <w:basedOn w:val="Normln"/>
    <w:link w:val="ZpatChar"/>
    <w:uiPriority w:val="99"/>
    <w:unhideWhenUsed/>
    <w:rsid w:val="00307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cz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B066-DB0B-4897-A342-0959208E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Ruben Vančo</cp:lastModifiedBy>
  <cp:revision>3</cp:revision>
  <dcterms:created xsi:type="dcterms:W3CDTF">2019-07-02T09:57:00Z</dcterms:created>
  <dcterms:modified xsi:type="dcterms:W3CDTF">2020-02-26T21:18:00Z</dcterms:modified>
</cp:coreProperties>
</file>